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CF3" w:rsidRDefault="00086CF3"/>
    <w:p w:rsidR="00C42243" w:rsidRDefault="00C42243"/>
    <w:p w:rsidR="00C42243" w:rsidRPr="005242E0" w:rsidRDefault="00C42243" w:rsidP="00C42243">
      <w:pPr>
        <w:spacing w:before="100" w:beforeAutospacing="1" w:after="100" w:afterAutospacing="1" w:line="240" w:lineRule="auto"/>
        <w:ind w:left="-567" w:right="141" w:firstLine="709"/>
        <w:contextualSpacing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Конструктивно-технологические решения энергоэффективных зданий</w:t>
      </w:r>
    </w:p>
    <w:p w:rsidR="00C42243" w:rsidRPr="00334A1F" w:rsidRDefault="00C42243" w:rsidP="00C42243">
      <w:pPr>
        <w:spacing w:before="100" w:beforeAutospacing="1" w:after="100" w:afterAutospacing="1" w:line="240" w:lineRule="auto"/>
        <w:ind w:left="-567" w:right="141" w:firstLine="709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242E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</w:t>
      </w:r>
      <w:r w:rsidRPr="00A91A4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Парута В.А.</w:t>
      </w:r>
    </w:p>
    <w:p w:rsidR="00C42243" w:rsidRPr="00334A1F" w:rsidRDefault="00C42243" w:rsidP="00C42243">
      <w:pPr>
        <w:spacing w:before="100" w:beforeAutospacing="1" w:after="100" w:afterAutospacing="1" w:line="240" w:lineRule="auto"/>
        <w:ind w:left="-567" w:right="141" w:firstLine="709"/>
        <w:contextualSpacing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42243" w:rsidRPr="005242E0" w:rsidRDefault="00C42243" w:rsidP="00C42243">
      <w:pPr>
        <w:spacing w:before="100" w:beforeAutospacing="1" w:after="100" w:afterAutospacing="1" w:line="240" w:lineRule="auto"/>
        <w:ind w:left="-567" w:right="141" w:firstLine="709"/>
        <w:contextualSpacing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bCs/>
          <w:sz w:val="28"/>
          <w:szCs w:val="28"/>
          <w:lang w:eastAsia="ru-RU"/>
        </w:rPr>
        <w:t>Одесская Государственная Академия Строительства и Архитектуры</w:t>
      </w:r>
    </w:p>
    <w:p w:rsidR="00C42243" w:rsidRPr="005242E0" w:rsidRDefault="00C42243" w:rsidP="00C42243">
      <w:pPr>
        <w:spacing w:before="100" w:beforeAutospacing="1" w:after="100" w:afterAutospacing="1" w:line="240" w:lineRule="auto"/>
        <w:ind w:left="-567" w:right="141" w:firstLine="709"/>
        <w:contextualSpacing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42243" w:rsidRPr="00A91A44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Для отопления и горячего водоснабжения жилого фонда, затрачивают до  40% производимой в стране тепловой энергии, 70% из которой теряется. Поэтому необходимо внедрение ресурсосберегающих технологий при строительстве и эксплуатации зданий. Эффективным решением проблемы является использование технологий тепловой санации для существующих зданий и строительство новых зданий в соответствии с концепцией “пассивный дом”.   </w:t>
      </w:r>
    </w:p>
    <w:p w:rsidR="00C42243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Среди технологий тепловой санации существующих зданий, наиболее целесообразными, на данный момент, являются применение систем утепления типа «навесной вентилируемый фасад»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Рис.1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и «скрепленной теплоизоляции»</w:t>
      </w:r>
      <w:r w:rsidRPr="00A9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2).</w:t>
      </w:r>
    </w:p>
    <w:p w:rsidR="00C42243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Pr="00282E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95pt;height:269.2pt" o:ole="">
            <v:imagedata r:id="rId5" o:title=""/>
          </v:shape>
          <o:OLEObject Type="Embed" ProgID="PowerPoint.Slide.12" ShapeID="_x0000_i1025" DrawAspect="Content" ObjectID="_1481728067" r:id="rId6"/>
        </w:object>
      </w:r>
    </w:p>
    <w:p w:rsidR="00C42243" w:rsidRPr="005242E0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Особенно актуально их применение для панельных домов,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термическое сопротивление стен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которых</w:t>
      </w:r>
      <w:r w:rsidRPr="008045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составляет лишь 25-30%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proofErr w:type="gramEnd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нормативных. Применение этих систем не только позволит уменьшить теплопотери и расход энергоресурсов на 40%, обеспечит комфортные условия проживания, но и приведет к увеличению срока эксплуатации здания, межремонтного периода и снижению эксплуатационных затрат. Эти технологии уже достаточно хорошо знакомы и требуют лишь точного соблюдения рекомендаций специалистов при выборе материалов и выполнении работ.</w:t>
      </w:r>
    </w:p>
    <w:p w:rsidR="00C42243" w:rsidRPr="00593E86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5242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    </w:t>
      </w:r>
      <w:r w:rsidRPr="00A92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object w:dxaOrig="7185" w:dyaOrig="5385">
          <v:shape id="_x0000_i1026" type="#_x0000_t75" style="width:358.95pt;height:269.2pt" o:ole="">
            <v:imagedata r:id="rId7" o:title=""/>
          </v:shape>
          <o:OLEObject Type="Embed" ProgID="PowerPoint.Slide.12" ShapeID="_x0000_i1026" DrawAspect="Content" ObjectID="_1481728068" r:id="rId8"/>
        </w:object>
      </w:r>
    </w:p>
    <w:p w:rsidR="00C42243" w:rsidRPr="00593E86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C42243" w:rsidRPr="005242E0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Технология «пассивного дома» менее знакома специалистам и потребителям. Ее концепция: </w:t>
      </w:r>
    </w:p>
    <w:p w:rsidR="00C42243" w:rsidRPr="005242E0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1.Величина теплопотерь, за отопительный сезон, должна равняться мощности внутренних и бытовых тепловыделений. </w:t>
      </w:r>
    </w:p>
    <w:p w:rsidR="00C42243" w:rsidRPr="005242E0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2.Стоимость строительства не должна существенно отличаться </w:t>
      </w:r>
      <w:proofErr w:type="gramStart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proofErr w:type="gramEnd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обычного. </w:t>
      </w:r>
    </w:p>
    <w:p w:rsidR="00C42243" w:rsidRPr="005242E0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Должны использоваться уже известные и освоенные технологии и технологические приемы [1]. </w:t>
      </w:r>
    </w:p>
    <w:p w:rsidR="00C42243" w:rsidRPr="00A91A44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«Пассивный дом» обеспечивает комфортные санитарно-гигиенические условия в помещениях при энергопотреблении 15-30 кВт•ч/м</w:t>
      </w:r>
      <w:proofErr w:type="gramStart"/>
      <w:r w:rsidRPr="00A91A44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энергии в год.</w:t>
      </w:r>
    </w:p>
    <w:p w:rsidR="00C42243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«Пассивный дом» - это сочетание конструктивных и технологических решений позволяющих  реализовать вышеизложенную концепцию. К ним относят: ориентацию жилых помещений на юг, с северной стороны отсутствует остекление и устраивают буферные зоны (кладовки, пристенные холодные шкафы и др.); применение автоматических систем вентиляции; толщину теплоизоляции увеличивают до 240-400 мм, что обеспечивает величину термического сопротивления ограждающих конструкций  R ≈ 6 - 10 м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∙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/Вт; использование тепла солнечного света, обитателей и бытовых приборов; применение </w:t>
      </w:r>
      <w:r w:rsidRPr="00A91A4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теплового насос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а; обеспечение э</w:t>
      </w:r>
      <w:r w:rsidRPr="00A91A4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нергоснабжения</w:t>
      </w:r>
      <w:r w:rsidRPr="00A91A4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счет возобновляемых источников энергии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(Рис.3)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C42243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241935</wp:posOffset>
            </wp:positionV>
            <wp:extent cx="2787650" cy="2425065"/>
            <wp:effectExtent l="19050" t="0" r="0" b="0"/>
            <wp:wrapSquare wrapText="bothSides"/>
            <wp:docPr id="9" name="Рисунок 9" descr="http://ais.by/sites/default/files/images/2006_5/1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is.by/sites/default/files/images/2006_5/107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  <w:r w:rsidRPr="00F3533A">
        <w:object w:dxaOrig="7185" w:dyaOrig="5385">
          <v:shape id="_x0000_i1027" type="#_x0000_t75" style="width:229.45pt;height:192.9pt" o:ole="">
            <v:imagedata r:id="rId10" o:title=""/>
          </v:shape>
          <o:OLEObject Type="Embed" ProgID="PowerPoint.Slide.12" ShapeID="_x0000_i1027" DrawAspect="Content" ObjectID="_1481728069" r:id="rId11"/>
        </w:object>
      </w:r>
      <w:r>
        <w:t xml:space="preserve"> </w:t>
      </w:r>
    </w:p>
    <w:p w:rsidR="00C42243" w:rsidRPr="00F3533A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2243" w:rsidRPr="00F3533A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33A">
        <w:rPr>
          <w:rFonts w:ascii="Times New Roman" w:hAnsi="Times New Roman"/>
          <w:sz w:val="28"/>
          <w:szCs w:val="28"/>
        </w:rPr>
        <w:t>Рис.3 Конструктивные узлы здания возведенного в соответствии с концепцией «пассивный дом»</w:t>
      </w:r>
    </w:p>
    <w:p w:rsidR="00C42243" w:rsidRPr="00A91A44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В качестве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конструктивных 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узлов таких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зданий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используют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A91A44">
        <w:rPr>
          <w:rFonts w:ascii="Times New Roman" w:eastAsia="+mn-ea" w:hAnsi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 w:rsidRPr="00A91A44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термические емкости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нагреваемые солнцем и медленно отдающие тепло естественные аккумуляторы (массивные конструкции зданий: каменные и водонаполненные стены, перекрытия; внутренние и наружные водоемы, каменные и глинистые массивы грунта; </w:t>
      </w:r>
      <w:r w:rsidRPr="00A91A44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энергоактивные буферные пространства -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A91A4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теплицы, оранжереи, веранды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что позволяют обеспечить до 25% энергопотребления); </w:t>
      </w:r>
      <w:proofErr w:type="gramStart"/>
      <w:r w:rsidRPr="00A91A44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стена-витраж -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обеспечивающая нагрев внутренних ограждений помещения, выполненных в виде термических емкостей (позволяет получить до 17% требующейся энергии);</w:t>
      </w:r>
      <w:r w:rsidRPr="00F4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1A44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стена Тромбэ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создающая "парниковый эффект" в неширокой (до 16 см) воздушной прослойке между светопрозрачной наружной поверхностью и высокотеплоемкой стеной (при использовании в целях воздушного отопления и проветривания позволяет экономить около 55% энергии) и др. </w:t>
      </w:r>
      <w:proofErr w:type="gramEnd"/>
    </w:p>
    <w:p w:rsidR="00C42243" w:rsidRPr="00A91A44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hAnsi="Times New Roman"/>
          <w:sz w:val="28"/>
          <w:szCs w:val="28"/>
        </w:rPr>
        <w:t xml:space="preserve">         </w:t>
      </w:r>
      <w:hyperlink r:id="rId12" w:history="1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Примером пассивного дома из традиционных  стеновых материалов является 4-х квартирный жилой дом в Дармштадте (Германия). Он возведен из силикатного кирпича с наружным утеплением пенополистиролом толщиной 400 мм и удовлетворяет требованиям предьявляемым к таким домам, за исключением системы отопления, оставшейся традиционно водяной.     </w:t>
      </w:r>
    </w:p>
    <w:p w:rsidR="00C42243" w:rsidRPr="00A91A44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Так как возведение «пассивного дома» представляет собой комплекс мероприятий, в качестве иллюстрации приведем несколько примеров. </w:t>
      </w:r>
      <w:r w:rsidRPr="00A91A4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Лыжная станция - 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Steiermark (Австрия). Характеристика местности: суровый альпийский климат, высокая солнечная активность, отсутствия инфраструктуры. </w:t>
      </w:r>
      <w:r w:rsidRPr="00A91A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Реализованные идеи проекта: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Трехэтажное, простой компактной формы здание. Использование солнечной энергии и дождевой воды. Очистка сточных вод и утилизация отходов. Помещения ориентированы только на юг, чтобы абсорбировать солнечную энергию. Южный фасад станции защищен от ветра и открыт солнцу солнечными панелями больших площадей и энергоэффективных окон (R до 1,6 м</w:t>
      </w:r>
      <w:proofErr w:type="gramStart"/>
      <w:r w:rsidRPr="00A91A44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К/Вт).</w:t>
      </w:r>
      <w:proofErr w:type="gramEnd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Солнечные коллекторы и панели фотогальваники, а при необходимости теплоэлектроцентраль на растительном топливе, через бак-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накопитель используются для горячего водоснабжения и нагревания приточного воздуха. Вентиляция – с теплообменником.  Система фотогальваники обеспечивает примерно 65% потребности в электроэнергии. Термически изолированы и закрыты северный, западный и восточный фасады. Сопротивление теплопередаче покрытия и стен R = 10 м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Start"/>
      <w:r>
        <w:rPr>
          <w:rFonts w:ascii="Cambria Math" w:eastAsia="Times New Roman" w:hAnsi="Cambria Math"/>
          <w:color w:val="000000"/>
          <w:sz w:val="28"/>
          <w:szCs w:val="28"/>
          <w:lang w:eastAsia="ru-RU"/>
        </w:rPr>
        <w:t>∙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proofErr w:type="gramEnd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/Вт, утеплитель – минераловатные плиты общей толщиной 360 мм.</w:t>
      </w:r>
    </w:p>
    <w:p w:rsidR="00C42243" w:rsidRPr="00A91A44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Ж</w:t>
      </w:r>
      <w:r w:rsidRPr="00A91A4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илой дом для пожилых людей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Domat, (Швейцария). Четырехэтажный. На южный фасад, полностью остекленный, выходят гостиная и спальные комнаты. Используются полупрозрачные трехкамерные стеклопакеты с R = 2 м</w:t>
      </w:r>
      <w:r w:rsidRPr="00CD6BF2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Start"/>
      <w:r>
        <w:rPr>
          <w:rFonts w:ascii="Cambria Math" w:eastAsia="Times New Roman" w:hAnsi="Cambria Math"/>
          <w:color w:val="000000"/>
          <w:sz w:val="28"/>
          <w:szCs w:val="28"/>
          <w:lang w:eastAsia="ru-RU"/>
        </w:rPr>
        <w:t>∙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/Вт. Наружный слой призматические стеклянные элементы рефлектируют лучи высоко стоящего летнего солнца но пропускают низкие лучи зимнего солнца. Второй слой заполнен – накопителями тепла (гидратом соли с фазовым преобразованием). Внутренний слой – безопасное стекло с керамической трафаретной печатью. Общая толщина – 78 мм. Вдоль северной стороны жилище разграничено и защищено зоной общественного пользования, приватных кладовых, лестниц и т.д. Наружная теплоизоляция толщиной 200 мм. Термическое сопротивление крыши – 4,5 м</w:t>
      </w:r>
      <w:r w:rsidRPr="00CD6BF2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Start"/>
      <w:r>
        <w:rPr>
          <w:rFonts w:ascii="Cambria Math" w:eastAsia="Times New Roman" w:hAnsi="Cambria Math"/>
          <w:color w:val="000000"/>
          <w:sz w:val="28"/>
          <w:szCs w:val="28"/>
          <w:lang w:eastAsia="ru-RU"/>
        </w:rPr>
        <w:t>∙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/Вт, утеплитель – полистирольный пенопласт толщиной 180 мм. </w:t>
      </w:r>
    </w:p>
    <w:p w:rsidR="00C42243" w:rsidRPr="00A91A44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Как видим даже в очень жестких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природных условиях эксплуатации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здания</w:t>
      </w:r>
      <w:r w:rsidRPr="000633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построенные в соответствии с концепцией «пассивный дом», оказываются энергетически эффективными. Широкое применение технологий тепловой санации существующих зданий и возведение новых, в соответствии с концепцией «пассивный дом» позволит уменьшить затраты энергоресурсов, обеспечить комфортные условия для работы и проживания. </w:t>
      </w:r>
    </w:p>
    <w:p w:rsidR="00C42243" w:rsidRPr="00A91A44" w:rsidRDefault="00C42243" w:rsidP="00C42243">
      <w:pPr>
        <w:widowControl w:val="0"/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При возведении энергоэффективных зданий целесообразно использование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качестве стенового материала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автоклавного газобетона, выпуск которого успешно освоен в Украине.</w:t>
      </w:r>
      <w:r w:rsidRPr="00A91A44">
        <w:rPr>
          <w:rFonts w:ascii="Times New Roman" w:hAnsi="Times New Roman"/>
          <w:sz w:val="28"/>
          <w:szCs w:val="28"/>
        </w:rPr>
        <w:t xml:space="preserve"> Долговечность и теплоизоляционные параметры газобетонной стеновой конструкции зависит от вида фасадного декоративно-защитного покрытия. Наиболее ц</w:t>
      </w:r>
      <w:r>
        <w:rPr>
          <w:rFonts w:ascii="Times New Roman" w:hAnsi="Times New Roman"/>
          <w:sz w:val="28"/>
          <w:szCs w:val="28"/>
        </w:rPr>
        <w:t>елесообразным</w:t>
      </w:r>
      <w:r w:rsidRPr="00A91A44">
        <w:rPr>
          <w:rFonts w:ascii="Times New Roman" w:hAnsi="Times New Roman"/>
          <w:sz w:val="28"/>
          <w:szCs w:val="28"/>
        </w:rPr>
        <w:t xml:space="preserve"> является оштукатуривание газобетона с последующей отделкой декоративными штукатурками или фасадными красками. </w:t>
      </w:r>
      <w:r>
        <w:rPr>
          <w:rFonts w:ascii="Times New Roman" w:hAnsi="Times New Roman"/>
          <w:sz w:val="28"/>
          <w:szCs w:val="28"/>
        </w:rPr>
        <w:t>Однако, неумелое применение данной технологии, приводит к снижению долговечности ограждающей конструкции. П</w:t>
      </w:r>
      <w:r w:rsidRPr="00A91A44">
        <w:rPr>
          <w:rFonts w:ascii="Times New Roman" w:hAnsi="Times New Roman"/>
          <w:sz w:val="28"/>
          <w:szCs w:val="28"/>
        </w:rPr>
        <w:t>ричин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A91A44">
        <w:rPr>
          <w:rFonts w:ascii="Times New Roman" w:hAnsi="Times New Roman"/>
          <w:sz w:val="28"/>
          <w:szCs w:val="28"/>
        </w:rPr>
        <w:t>в том, что</w:t>
      </w:r>
      <w:r w:rsidRPr="009A7614">
        <w:rPr>
          <w:rFonts w:ascii="Times New Roman" w:hAnsi="Times New Roman"/>
          <w:sz w:val="28"/>
          <w:szCs w:val="28"/>
        </w:rPr>
        <w:t xml:space="preserve"> </w:t>
      </w:r>
      <w:r w:rsidRPr="00A91A44">
        <w:rPr>
          <w:rFonts w:ascii="Times New Roman" w:hAnsi="Times New Roman"/>
          <w:sz w:val="28"/>
          <w:szCs w:val="28"/>
        </w:rPr>
        <w:t>недостаточно</w:t>
      </w:r>
      <w:r>
        <w:rPr>
          <w:rFonts w:ascii="Times New Roman" w:hAnsi="Times New Roman"/>
          <w:sz w:val="28"/>
          <w:szCs w:val="28"/>
        </w:rPr>
        <w:t xml:space="preserve"> изучены и учтены</w:t>
      </w:r>
      <w:r w:rsidRPr="00A91A44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ы, протекающие</w:t>
      </w:r>
      <w:r w:rsidRPr="00A91A44">
        <w:rPr>
          <w:rFonts w:ascii="Times New Roman" w:hAnsi="Times New Roman"/>
          <w:sz w:val="28"/>
          <w:szCs w:val="28"/>
        </w:rPr>
        <w:t xml:space="preserve"> при </w:t>
      </w:r>
      <w:r>
        <w:rPr>
          <w:rFonts w:ascii="Times New Roman" w:hAnsi="Times New Roman"/>
          <w:sz w:val="28"/>
          <w:szCs w:val="28"/>
        </w:rPr>
        <w:t xml:space="preserve">нанесении и </w:t>
      </w:r>
      <w:r w:rsidRPr="00A91A44">
        <w:rPr>
          <w:rFonts w:ascii="Times New Roman" w:hAnsi="Times New Roman"/>
          <w:sz w:val="28"/>
          <w:szCs w:val="28"/>
        </w:rPr>
        <w:t>эксплуатации</w:t>
      </w:r>
      <w:r>
        <w:rPr>
          <w:rFonts w:ascii="Times New Roman" w:hAnsi="Times New Roman"/>
          <w:sz w:val="28"/>
          <w:szCs w:val="28"/>
        </w:rPr>
        <w:t xml:space="preserve"> штукатурных покрытий</w:t>
      </w:r>
      <w:r w:rsidRPr="00A91A44">
        <w:rPr>
          <w:rFonts w:ascii="Times New Roman" w:hAnsi="Times New Roman"/>
          <w:sz w:val="28"/>
          <w:szCs w:val="28"/>
        </w:rPr>
        <w:t xml:space="preserve">. Наружное покрытие следует рассматривать не как самостоятельный элемент, а во взаимосвязи с элементами, составляющими конструкцию наружной стены. </w:t>
      </w:r>
      <w:r w:rsidRPr="00A91A4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91A44">
        <w:rPr>
          <w:rFonts w:ascii="Times New Roman" w:hAnsi="Times New Roman"/>
          <w:sz w:val="28"/>
          <w:szCs w:val="28"/>
        </w:rPr>
        <w:t xml:space="preserve">Кладка и покрытие должны «работать» совместно, а  их материалы должны иметь сопоставимые свойств. </w:t>
      </w:r>
    </w:p>
    <w:p w:rsidR="00C42243" w:rsidRPr="00A91A44" w:rsidRDefault="00C42243" w:rsidP="00C42243">
      <w:pPr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hAnsi="Times New Roman"/>
          <w:sz w:val="28"/>
          <w:szCs w:val="28"/>
        </w:rPr>
        <w:t xml:space="preserve">    Растворная смесь должна иметь водоудерживающую способность не менее 98%. Для обеспечения такого показателя необходима оптимизация гранулометрического состава  заполнителя и наполнителя, использование  эфиров целлюлозы и редиспергируемых полимерных порошков. Повышение водоудерживающей способности растворной смеси обеспечит оптимальные условия для твердения раствора,  увеличение степени гидратации цемента, уменьшение усадочных деформаций.  А это в свою очередь предопределит </w:t>
      </w:r>
      <w:r w:rsidRPr="00A91A44">
        <w:rPr>
          <w:rFonts w:ascii="Times New Roman" w:hAnsi="Times New Roman"/>
          <w:sz w:val="28"/>
          <w:szCs w:val="28"/>
        </w:rPr>
        <w:lastRenderedPageBreak/>
        <w:t>высокую адгезию затвердевшего раствора к кладке, которая должна составлять не менее 0,5 МПа.</w:t>
      </w:r>
    </w:p>
    <w:p w:rsidR="00C42243" w:rsidRPr="00A91A44" w:rsidRDefault="00C42243" w:rsidP="00C42243">
      <w:pPr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hAnsi="Times New Roman"/>
          <w:sz w:val="28"/>
          <w:szCs w:val="28"/>
        </w:rPr>
        <w:t xml:space="preserve">     Так как одним из деструктивных факторов являются влажностные деформации раствора, то необходимо, чтобы его водопоглощение не превышало 5% по обьему, а поверхность имела гидрофобный характер. Возникновение деформаций набухания и усадки надежно предупреждается с помощью гидрофобизации штукатурки. Уменьшения водопоглощения можно добиться введением в сухие смеси порошкообразных гидрофобизаторов (стеаратов металлов) и редиспергируемых полимерных порошков. Уменьшение водопоглощения приведет к повышению стойкости к переменному увлажнению и высушиванию. Раствор, соответствующий требованиям по этому показателю, </w:t>
      </w:r>
      <w:r>
        <w:rPr>
          <w:rFonts w:ascii="Times New Roman" w:hAnsi="Times New Roman"/>
          <w:sz w:val="28"/>
          <w:szCs w:val="28"/>
        </w:rPr>
        <w:t>должен иметь адгезию к основанию</w:t>
      </w:r>
      <w:r w:rsidRPr="00A91A44">
        <w:rPr>
          <w:rFonts w:ascii="Times New Roman" w:hAnsi="Times New Roman"/>
          <w:sz w:val="28"/>
          <w:szCs w:val="28"/>
        </w:rPr>
        <w:t xml:space="preserve"> 0,38-0,45 МПа после 250 циклов. Уменьшение водопоглощения штукатурного раствора обеспечит его морозостойкость</w:t>
      </w:r>
      <w:r>
        <w:rPr>
          <w:rFonts w:ascii="Times New Roman" w:hAnsi="Times New Roman"/>
          <w:sz w:val="28"/>
          <w:szCs w:val="28"/>
        </w:rPr>
        <w:t>,</w:t>
      </w:r>
      <w:r w:rsidRPr="00A91A44">
        <w:rPr>
          <w:rFonts w:ascii="Times New Roman" w:hAnsi="Times New Roman"/>
          <w:sz w:val="28"/>
          <w:szCs w:val="28"/>
        </w:rPr>
        <w:t xml:space="preserve"> которая должна составлять не менее 35-50 циклов.</w:t>
      </w:r>
    </w:p>
    <w:p w:rsidR="00C42243" w:rsidRPr="00A91A44" w:rsidRDefault="00C42243" w:rsidP="00C42243">
      <w:pPr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hAnsi="Times New Roman"/>
          <w:sz w:val="28"/>
          <w:szCs w:val="28"/>
        </w:rPr>
        <w:t xml:space="preserve">    Покрытие должно иметь сопоставимые, с кладкой, температурные и влажностные деформации. Решить эту проблему можно, максимально приблизив их структуру и среднюю плотность. В этом случае  можно прогнозировать их  длительную совместную работу. Для этого штукатурный раствор должен иметь пористость сопоставимую с пористостью стенового материала, а средняя плотность  должна быть в пределах 500 – 1</w:t>
      </w:r>
      <w:r>
        <w:rPr>
          <w:rFonts w:ascii="Times New Roman" w:hAnsi="Times New Roman"/>
          <w:sz w:val="28"/>
          <w:szCs w:val="28"/>
        </w:rPr>
        <w:t>2</w:t>
      </w:r>
      <w:r w:rsidRPr="00A91A44">
        <w:rPr>
          <w:rFonts w:ascii="Times New Roman" w:hAnsi="Times New Roman"/>
          <w:sz w:val="28"/>
          <w:szCs w:val="28"/>
        </w:rPr>
        <w:t>00 кг/ м</w:t>
      </w:r>
      <w:r w:rsidRPr="00063359">
        <w:rPr>
          <w:rFonts w:ascii="Times New Roman" w:hAnsi="Times New Roman"/>
          <w:sz w:val="28"/>
          <w:szCs w:val="28"/>
          <w:vertAlign w:val="superscript"/>
        </w:rPr>
        <w:t>3</w:t>
      </w:r>
      <w:r w:rsidRPr="00A91A44">
        <w:rPr>
          <w:rFonts w:ascii="Times New Roman" w:hAnsi="Times New Roman"/>
          <w:sz w:val="28"/>
          <w:szCs w:val="28"/>
        </w:rPr>
        <w:t>. Для этого используют воздухововлекающие добавки, пенообразователи  либо  вводят мелкий пористый заполнитель.</w:t>
      </w:r>
    </w:p>
    <w:p w:rsidR="00C42243" w:rsidRPr="00A91A44" w:rsidRDefault="00C42243" w:rsidP="00C42243">
      <w:pPr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hAnsi="Times New Roman"/>
          <w:sz w:val="28"/>
          <w:szCs w:val="28"/>
        </w:rPr>
        <w:t xml:space="preserve">     Раствор должен иметь малую усадку при твердении во избежание образования усадочных трещин на этапе твердения. Он должен быть устойчив к разрыву по трещине в кладке, штукатурка должна сохранять целостность при образовании трещин в ячеистом бетоне шириной до 0,3мм. Отношение проч</w:t>
      </w:r>
      <w:r w:rsidRPr="00A91A44">
        <w:rPr>
          <w:rFonts w:ascii="Times New Roman" w:hAnsi="Times New Roman"/>
          <w:sz w:val="28"/>
          <w:szCs w:val="28"/>
        </w:rPr>
        <w:softHyphen/>
        <w:t>ности при изгибе (</w:t>
      </w:r>
      <w:proofErr w:type="gramStart"/>
      <w:r w:rsidRPr="00A91A44">
        <w:rPr>
          <w:rFonts w:ascii="Times New Roman" w:hAnsi="Times New Roman"/>
          <w:sz w:val="28"/>
          <w:szCs w:val="28"/>
        </w:rPr>
        <w:t>R</w:t>
      </w:r>
      <w:proofErr w:type="gramEnd"/>
      <w:r w:rsidRPr="00063359">
        <w:rPr>
          <w:rFonts w:ascii="Times New Roman" w:hAnsi="Times New Roman"/>
          <w:sz w:val="28"/>
          <w:szCs w:val="28"/>
          <w:vertAlign w:val="subscript"/>
        </w:rPr>
        <w:t>изг</w:t>
      </w:r>
      <w:r>
        <w:rPr>
          <w:rFonts w:ascii="Times New Roman" w:hAnsi="Times New Roman"/>
          <w:sz w:val="28"/>
          <w:szCs w:val="28"/>
        </w:rPr>
        <w:t>) к прочности при сжатии (R</w:t>
      </w:r>
      <w:r w:rsidRPr="00063359">
        <w:rPr>
          <w:rFonts w:ascii="Times New Roman" w:hAnsi="Times New Roman"/>
          <w:sz w:val="28"/>
          <w:szCs w:val="28"/>
          <w:vertAlign w:val="subscript"/>
        </w:rPr>
        <w:t>сж</w:t>
      </w:r>
      <w:r w:rsidRPr="00A91A44">
        <w:rPr>
          <w:rFonts w:ascii="Times New Roman" w:hAnsi="Times New Roman"/>
          <w:sz w:val="28"/>
          <w:szCs w:val="28"/>
        </w:rPr>
        <w:t>) должно быть  R</w:t>
      </w:r>
      <w:r w:rsidRPr="00063359">
        <w:rPr>
          <w:rFonts w:ascii="Times New Roman" w:hAnsi="Times New Roman"/>
          <w:sz w:val="28"/>
          <w:szCs w:val="28"/>
          <w:vertAlign w:val="subscript"/>
        </w:rPr>
        <w:t>изг</w:t>
      </w:r>
      <w:r w:rsidRPr="00A91A44">
        <w:rPr>
          <w:rFonts w:ascii="Times New Roman" w:hAnsi="Times New Roman"/>
          <w:sz w:val="28"/>
          <w:szCs w:val="28"/>
        </w:rPr>
        <w:t>/R</w:t>
      </w:r>
      <w:r w:rsidRPr="00063359">
        <w:rPr>
          <w:rFonts w:ascii="Times New Roman" w:hAnsi="Times New Roman"/>
          <w:sz w:val="28"/>
          <w:szCs w:val="28"/>
          <w:vertAlign w:val="subscript"/>
        </w:rPr>
        <w:t>сж</w:t>
      </w:r>
      <w:r w:rsidRPr="00A91A44">
        <w:rPr>
          <w:rFonts w:ascii="Times New Roman" w:hAnsi="Times New Roman"/>
          <w:sz w:val="28"/>
          <w:szCs w:val="28"/>
        </w:rPr>
        <w:t xml:space="preserve"> &gt; 0,3. Этого можно добиться  микродисперсным армированием, применением эфиров целлюлозы и редиспергируемых полимерных порошков.</w:t>
      </w:r>
    </w:p>
    <w:p w:rsidR="00C42243" w:rsidRPr="00A91A44" w:rsidRDefault="00C42243" w:rsidP="00C42243">
      <w:pPr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hAnsi="Times New Roman"/>
          <w:sz w:val="28"/>
          <w:szCs w:val="28"/>
        </w:rPr>
        <w:t xml:space="preserve">    Прочность раствора при сжатии должна быть сопоставима с прочностью материала кладки, а модуль упругости штукатурки должен быть ниже модуля упругости основания. Редиспергируемые порошки позволят снизить модуль упругости материала на 25-30%, что придаст штукатурке способность воспринимать возникающие напряжения без образования трещин.</w:t>
      </w:r>
    </w:p>
    <w:p w:rsidR="00C42243" w:rsidRPr="00A91A44" w:rsidRDefault="00C42243" w:rsidP="00C42243">
      <w:pPr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hAnsi="Times New Roman"/>
          <w:sz w:val="28"/>
          <w:szCs w:val="28"/>
        </w:rPr>
        <w:t xml:space="preserve">     Покрытие должно обладать паропроницаемостью </w:t>
      </w:r>
      <w:proofErr w:type="gramStart"/>
      <w:r w:rsidRPr="00A91A44">
        <w:rPr>
          <w:rFonts w:ascii="Times New Roman" w:hAnsi="Times New Roman"/>
          <w:sz w:val="28"/>
          <w:szCs w:val="28"/>
        </w:rPr>
        <w:t>сопоставимой</w:t>
      </w:r>
      <w:proofErr w:type="gramEnd"/>
      <w:r w:rsidRPr="00A91A44">
        <w:rPr>
          <w:rFonts w:ascii="Times New Roman" w:hAnsi="Times New Roman"/>
          <w:sz w:val="28"/>
          <w:szCs w:val="28"/>
        </w:rPr>
        <w:t xml:space="preserve"> с паропроницаемостью газобетона -   0,17 - 0,23мг/(м</w:t>
      </w:r>
      <w:r>
        <w:rPr>
          <w:rFonts w:ascii="Cambria Math" w:eastAsia="Times New Roman" w:hAnsi="Cambria Math"/>
          <w:color w:val="000000"/>
          <w:sz w:val="28"/>
          <w:szCs w:val="28"/>
          <w:lang w:eastAsia="ru-RU"/>
        </w:rPr>
        <w:t>∙</w:t>
      </w:r>
      <w:r>
        <w:rPr>
          <w:rFonts w:ascii="Times New Roman" w:hAnsi="Times New Roman"/>
          <w:sz w:val="28"/>
          <w:szCs w:val="28"/>
        </w:rPr>
        <w:t>час</w:t>
      </w:r>
      <w:r>
        <w:rPr>
          <w:rFonts w:ascii="Cambria Math" w:eastAsia="Times New Roman" w:hAnsi="Cambria Math"/>
          <w:color w:val="000000"/>
          <w:sz w:val="28"/>
          <w:szCs w:val="28"/>
          <w:lang w:eastAsia="ru-RU"/>
        </w:rPr>
        <w:t>∙</w:t>
      </w:r>
      <w:r w:rsidRPr="00A91A44">
        <w:rPr>
          <w:rFonts w:ascii="Times New Roman" w:hAnsi="Times New Roman"/>
          <w:sz w:val="28"/>
          <w:szCs w:val="28"/>
        </w:rPr>
        <w:t>Па). Это обеспечит  высушивание стеновой конструкции до равновесной влажности, а при эксплуатации, транзит влаги из помещения.</w:t>
      </w:r>
    </w:p>
    <w:p w:rsidR="00C42243" w:rsidRPr="00A91A44" w:rsidRDefault="00C42243" w:rsidP="00C42243">
      <w:pPr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hAnsi="Times New Roman"/>
          <w:sz w:val="28"/>
          <w:szCs w:val="28"/>
        </w:rPr>
        <w:t xml:space="preserve">    На рынке строительных материалов Украины в последнее время появил</w:t>
      </w:r>
      <w:r>
        <w:rPr>
          <w:rFonts w:ascii="Times New Roman" w:hAnsi="Times New Roman"/>
          <w:sz w:val="28"/>
          <w:szCs w:val="28"/>
        </w:rPr>
        <w:t>ся</w:t>
      </w:r>
      <w:r w:rsidRPr="00A91A44">
        <w:rPr>
          <w:rFonts w:ascii="Times New Roman" w:hAnsi="Times New Roman"/>
          <w:sz w:val="28"/>
          <w:szCs w:val="28"/>
        </w:rPr>
        <w:t xml:space="preserve">  целый ряд штукатурных смесей для отделки газобетона. Для некоторых из них характерна высокая средняя плотность и низкая паропроницаемость,  для других ограничением является значительная стоимость.</w:t>
      </w:r>
    </w:p>
    <w:p w:rsidR="00C42243" w:rsidRPr="005242E0" w:rsidRDefault="00C42243" w:rsidP="00C42243">
      <w:pPr>
        <w:widowControl w:val="0"/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Pr="00A91A44">
        <w:rPr>
          <w:rFonts w:ascii="Times New Roman" w:hAnsi="Times New Roman"/>
          <w:sz w:val="28"/>
          <w:szCs w:val="28"/>
        </w:rPr>
        <w:t>Для реализации вышеприведенного алгоритма нами рассматривалась возможность получения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A44">
        <w:rPr>
          <w:rFonts w:ascii="Times New Roman" w:hAnsi="Times New Roman"/>
          <w:sz w:val="28"/>
          <w:szCs w:val="28"/>
        </w:rPr>
        <w:t xml:space="preserve">экономичного </w:t>
      </w:r>
      <w:r>
        <w:rPr>
          <w:rFonts w:ascii="Times New Roman" w:hAnsi="Times New Roman"/>
          <w:sz w:val="28"/>
          <w:szCs w:val="28"/>
        </w:rPr>
        <w:t>полиме</w:t>
      </w:r>
      <w:r w:rsidRPr="00A91A44">
        <w:rPr>
          <w:rFonts w:ascii="Times New Roman" w:hAnsi="Times New Roman"/>
          <w:sz w:val="28"/>
          <w:szCs w:val="28"/>
        </w:rPr>
        <w:t xml:space="preserve">цементного раствора с минимальным расходом добавок, но приближающегося по своим свойствам к </w:t>
      </w:r>
      <w:r w:rsidRPr="00A91A44">
        <w:rPr>
          <w:rFonts w:ascii="Times New Roman" w:hAnsi="Times New Roman"/>
          <w:sz w:val="28"/>
          <w:szCs w:val="28"/>
        </w:rPr>
        <w:lastRenderedPageBreak/>
        <w:t xml:space="preserve">требуемым параметрам. Для обеспечения высокой водоудерживающей способности растворной смеси и повышения трещиностойкости раствора, использовали карбоксиметиллцеллюлозу. Для уменьшения средней плотности и повышения паропроницаемости раствора, использовали воздухововлекающую добавку Ceresit CO 85. Оптимизация рецептурно-технологических факторов осуществлялась при помощи трехфакторного плана с варьированными факторами: </w:t>
      </w:r>
      <w:r>
        <w:rPr>
          <w:rFonts w:ascii="Times New Roman" w:hAnsi="Times New Roman"/>
          <w:bCs/>
          <w:sz w:val="28"/>
          <w:szCs w:val="28"/>
        </w:rPr>
        <w:t>Х1-расход цемента 16-28%</w:t>
      </w:r>
      <w:r w:rsidRPr="00A91A44">
        <w:rPr>
          <w:rFonts w:ascii="Times New Roman" w:hAnsi="Times New Roman"/>
          <w:bCs/>
          <w:sz w:val="28"/>
          <w:szCs w:val="28"/>
        </w:rPr>
        <w:t xml:space="preserve">; Х2-расход добавки </w:t>
      </w:r>
      <w:r w:rsidRPr="00A91A44">
        <w:rPr>
          <w:rFonts w:ascii="Times New Roman" w:hAnsi="Times New Roman"/>
          <w:bCs/>
          <w:sz w:val="28"/>
          <w:szCs w:val="28"/>
          <w:lang w:val="en-US"/>
        </w:rPr>
        <w:t>Ceresit</w:t>
      </w:r>
      <w:r w:rsidRPr="00A91A44">
        <w:rPr>
          <w:rFonts w:ascii="Times New Roman" w:hAnsi="Times New Roman"/>
          <w:bCs/>
          <w:sz w:val="28"/>
          <w:szCs w:val="28"/>
        </w:rPr>
        <w:t xml:space="preserve"> </w:t>
      </w:r>
      <w:r w:rsidRPr="00A91A44">
        <w:rPr>
          <w:rFonts w:ascii="Times New Roman" w:hAnsi="Times New Roman"/>
          <w:bCs/>
          <w:sz w:val="28"/>
          <w:szCs w:val="28"/>
          <w:lang w:val="en-US"/>
        </w:rPr>
        <w:t>CO</w:t>
      </w:r>
      <w:r w:rsidRPr="00A91A44">
        <w:rPr>
          <w:rFonts w:ascii="Times New Roman" w:hAnsi="Times New Roman"/>
          <w:bCs/>
          <w:sz w:val="28"/>
          <w:szCs w:val="28"/>
        </w:rPr>
        <w:t>-85 1-3% от массы цемента;</w:t>
      </w:r>
      <w:r w:rsidRPr="00A91A44">
        <w:rPr>
          <w:rFonts w:ascii="Times New Roman" w:hAnsi="Times New Roman"/>
          <w:sz w:val="28"/>
          <w:szCs w:val="28"/>
        </w:rPr>
        <w:t xml:space="preserve">  </w:t>
      </w:r>
      <w:r w:rsidRPr="00A91A44">
        <w:rPr>
          <w:rFonts w:ascii="Times New Roman" w:hAnsi="Times New Roman"/>
          <w:bCs/>
          <w:sz w:val="28"/>
          <w:szCs w:val="28"/>
        </w:rPr>
        <w:t>Х3-расход карбоксиметилцеллюлозы  0,3-0,9% от массы цемента.</w:t>
      </w:r>
      <w:r w:rsidRPr="00A91A44">
        <w:rPr>
          <w:rFonts w:ascii="Times New Roman" w:hAnsi="Times New Roman"/>
          <w:sz w:val="28"/>
          <w:szCs w:val="28"/>
        </w:rPr>
        <w:t xml:space="preserve"> </w:t>
      </w:r>
    </w:p>
    <w:p w:rsidR="00C42243" w:rsidRPr="00324996" w:rsidRDefault="00C42243" w:rsidP="00C42243">
      <w:pPr>
        <w:widowControl w:val="0"/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4996">
        <w:rPr>
          <w:rFonts w:ascii="Times New Roman" w:hAnsi="Times New Roman"/>
          <w:sz w:val="28"/>
          <w:szCs w:val="28"/>
        </w:rPr>
        <w:t xml:space="preserve">                  </w:t>
      </w:r>
      <w:r w:rsidRPr="0086173A">
        <w:rPr>
          <w:rFonts w:ascii="Times New Roman" w:hAnsi="Times New Roman"/>
          <w:sz w:val="28"/>
          <w:szCs w:val="28"/>
        </w:rPr>
        <w:object w:dxaOrig="7185" w:dyaOrig="5385">
          <v:shape id="_x0000_i1028" type="#_x0000_t75" style="width:358.95pt;height:269.2pt" o:ole="">
            <v:imagedata r:id="rId13" o:title=""/>
          </v:shape>
          <o:OLEObject Type="Embed" ProgID="PowerPoint.Slide.12" ShapeID="_x0000_i1028" DrawAspect="Content" ObjectID="_1481728070" r:id="rId14"/>
        </w:object>
      </w:r>
    </w:p>
    <w:p w:rsidR="00C42243" w:rsidRPr="00A91A44" w:rsidRDefault="00C42243" w:rsidP="00C42243">
      <w:pPr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42243" w:rsidRPr="00A91A44" w:rsidRDefault="00C42243" w:rsidP="00C42243">
      <w:pPr>
        <w:widowControl w:val="0"/>
        <w:spacing w:line="240" w:lineRule="auto"/>
        <w:ind w:left="-567" w:right="141"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2243" w:rsidRPr="00324996" w:rsidRDefault="00C42243" w:rsidP="00C42243">
      <w:pPr>
        <w:widowControl w:val="0"/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44">
        <w:rPr>
          <w:rFonts w:ascii="Times New Roman" w:hAnsi="Times New Roman"/>
          <w:sz w:val="28"/>
          <w:szCs w:val="28"/>
        </w:rPr>
        <w:t xml:space="preserve">    Приведенные данные свидетельствуют о том, что используя эффект воздухововлечения, удалось снизить среднюю плотность цементно-песчаного раствора на плотном кварцевом песке, с 1800 кг/м</w:t>
      </w:r>
      <w:r w:rsidRPr="00A91A44">
        <w:rPr>
          <w:rFonts w:ascii="Times New Roman" w:hAnsi="Times New Roman"/>
          <w:sz w:val="28"/>
          <w:szCs w:val="28"/>
          <w:vertAlign w:val="superscript"/>
        </w:rPr>
        <w:t>3</w:t>
      </w:r>
      <w:r w:rsidRPr="00A91A44">
        <w:rPr>
          <w:rFonts w:ascii="Times New Roman" w:hAnsi="Times New Roman"/>
          <w:sz w:val="28"/>
          <w:szCs w:val="28"/>
        </w:rPr>
        <w:t xml:space="preserve">  до 1</w:t>
      </w:r>
      <w:r>
        <w:rPr>
          <w:rFonts w:ascii="Times New Roman" w:hAnsi="Times New Roman"/>
          <w:sz w:val="28"/>
          <w:szCs w:val="28"/>
        </w:rPr>
        <w:t>2</w:t>
      </w:r>
      <w:r w:rsidRPr="00A91A44">
        <w:rPr>
          <w:rFonts w:ascii="Times New Roman" w:hAnsi="Times New Roman"/>
          <w:sz w:val="28"/>
          <w:szCs w:val="28"/>
        </w:rPr>
        <w:t>00 кг/м</w:t>
      </w:r>
      <w:r w:rsidRPr="00A91A44">
        <w:rPr>
          <w:rFonts w:ascii="Times New Roman" w:hAnsi="Times New Roman"/>
          <w:sz w:val="28"/>
          <w:szCs w:val="28"/>
          <w:vertAlign w:val="superscript"/>
        </w:rPr>
        <w:t>3</w:t>
      </w:r>
      <w:r w:rsidRPr="00A91A44">
        <w:rPr>
          <w:rFonts w:ascii="Times New Roman" w:hAnsi="Times New Roman"/>
          <w:sz w:val="28"/>
          <w:szCs w:val="28"/>
        </w:rPr>
        <w:t xml:space="preserve"> (Рис.</w:t>
      </w:r>
      <w:r w:rsidRPr="00324996">
        <w:rPr>
          <w:rFonts w:ascii="Times New Roman" w:hAnsi="Times New Roman"/>
          <w:sz w:val="28"/>
          <w:szCs w:val="28"/>
        </w:rPr>
        <w:t>4</w:t>
      </w:r>
      <w:r w:rsidRPr="00A91A44">
        <w:rPr>
          <w:rFonts w:ascii="Times New Roman" w:hAnsi="Times New Roman"/>
          <w:sz w:val="28"/>
          <w:szCs w:val="28"/>
        </w:rPr>
        <w:t>). Прочность при сжатии раствора сопоставима с прочностью газоб</w:t>
      </w:r>
      <w:r>
        <w:rPr>
          <w:rFonts w:ascii="Times New Roman" w:hAnsi="Times New Roman"/>
          <w:sz w:val="28"/>
          <w:szCs w:val="28"/>
        </w:rPr>
        <w:t xml:space="preserve">етонных блоков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A91A44">
        <w:rPr>
          <w:rFonts w:ascii="Times New Roman" w:hAnsi="Times New Roman"/>
          <w:sz w:val="28"/>
          <w:szCs w:val="28"/>
        </w:rPr>
        <w:t>400 и составляет 20-30 кгс/см</w:t>
      </w:r>
      <w:proofErr w:type="gramStart"/>
      <w:r w:rsidRPr="00A91A4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A91A44">
        <w:rPr>
          <w:rFonts w:ascii="Times New Roman" w:hAnsi="Times New Roman"/>
          <w:sz w:val="28"/>
          <w:szCs w:val="28"/>
        </w:rPr>
        <w:t xml:space="preserve"> (Рис.</w:t>
      </w:r>
      <w:r w:rsidRPr="00324996">
        <w:rPr>
          <w:rFonts w:ascii="Times New Roman" w:hAnsi="Times New Roman"/>
          <w:sz w:val="28"/>
          <w:szCs w:val="28"/>
        </w:rPr>
        <w:t>5</w:t>
      </w:r>
      <w:r w:rsidRPr="00A91A44">
        <w:rPr>
          <w:rFonts w:ascii="Times New Roman" w:hAnsi="Times New Roman"/>
          <w:sz w:val="28"/>
          <w:szCs w:val="28"/>
        </w:rPr>
        <w:t>), что достаточно для обеспечения совместной работы «кладка-покрытие». Введение карбоксиметилцеллюлозы обеспечило оптимальные условия для твердения и формирование структуры с пониженным количеством трещин. Это позволило повысить прочность при изгибе раствора до 15-25 кгс/см</w:t>
      </w:r>
      <w:proofErr w:type="gramStart"/>
      <w:r w:rsidRPr="00A91A4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A91A44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A91A44">
        <w:rPr>
          <w:rFonts w:ascii="Times New Roman" w:hAnsi="Times New Roman"/>
          <w:sz w:val="28"/>
          <w:szCs w:val="28"/>
        </w:rPr>
        <w:t>(Рис.</w:t>
      </w:r>
      <w:r w:rsidRPr="00324996">
        <w:rPr>
          <w:rFonts w:ascii="Times New Roman" w:hAnsi="Times New Roman"/>
          <w:sz w:val="28"/>
          <w:szCs w:val="28"/>
        </w:rPr>
        <w:t>6</w:t>
      </w:r>
      <w:r w:rsidRPr="00A91A44">
        <w:rPr>
          <w:rFonts w:ascii="Times New Roman" w:hAnsi="Times New Roman"/>
          <w:sz w:val="28"/>
          <w:szCs w:val="28"/>
        </w:rPr>
        <w:t>), а коэффициент трещ</w:t>
      </w:r>
      <w:r>
        <w:rPr>
          <w:rFonts w:ascii="Times New Roman" w:hAnsi="Times New Roman"/>
          <w:sz w:val="28"/>
          <w:szCs w:val="28"/>
        </w:rPr>
        <w:t>иностойкости до 0,8 – 1,2 (Рис.</w:t>
      </w:r>
      <w:r w:rsidRPr="00324996">
        <w:rPr>
          <w:rFonts w:ascii="Times New Roman" w:hAnsi="Times New Roman"/>
          <w:sz w:val="28"/>
          <w:szCs w:val="28"/>
        </w:rPr>
        <w:t>7</w:t>
      </w:r>
      <w:r w:rsidRPr="00A91A44">
        <w:rPr>
          <w:rFonts w:ascii="Times New Roman" w:hAnsi="Times New Roman"/>
          <w:sz w:val="28"/>
          <w:szCs w:val="28"/>
        </w:rPr>
        <w:t>).</w:t>
      </w:r>
    </w:p>
    <w:p w:rsidR="00C42243" w:rsidRPr="00A91A44" w:rsidRDefault="00C42243" w:rsidP="00C42243">
      <w:pPr>
        <w:widowControl w:val="0"/>
        <w:spacing w:line="240" w:lineRule="auto"/>
        <w:ind w:left="-567"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4996">
        <w:rPr>
          <w:rFonts w:ascii="Times New Roman" w:hAnsi="Times New Roman"/>
          <w:sz w:val="28"/>
          <w:szCs w:val="28"/>
        </w:rPr>
        <w:object w:dxaOrig="7185" w:dyaOrig="5385">
          <v:shape id="_x0000_i1029" type="#_x0000_t75" style="width:358.95pt;height:246.65pt" o:ole="">
            <v:imagedata r:id="rId15" o:title=""/>
          </v:shape>
          <o:OLEObject Type="Embed" ProgID="PowerPoint.Slide.12" ShapeID="_x0000_i1029" DrawAspect="Content" ObjectID="_1481728071" r:id="rId16"/>
        </w:object>
      </w:r>
    </w:p>
    <w:p w:rsidR="00C42243" w:rsidRPr="00A91A44" w:rsidRDefault="00C42243" w:rsidP="00C42243">
      <w:pPr>
        <w:tabs>
          <w:tab w:val="num" w:pos="720"/>
        </w:tabs>
        <w:spacing w:before="100" w:beforeAutospacing="1" w:after="100" w:afterAutospacing="1" w:line="240" w:lineRule="auto"/>
        <w:ind w:left="-567" w:right="141" w:firstLine="709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Литература</w:t>
      </w:r>
    </w:p>
    <w:p w:rsidR="00C42243" w:rsidRPr="00F46C11" w:rsidRDefault="00C42243" w:rsidP="00C4224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141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Feist W. Das kostengünstige Passivhaus — Proektbeschreibung / Arbeitkreis kostengünstige Passivhäuser. Protokolband № 1. Darmstadt, 1996. S. 9–21.</w:t>
      </w:r>
    </w:p>
    <w:p w:rsidR="00C42243" w:rsidRPr="00A91A44" w:rsidRDefault="00C42243" w:rsidP="00C4224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141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Feist W. Gestaltungsgrundlagen Passivh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usern, Verlag Das Beispiel. 2001. S. 144.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br/>
        <w:t xml:space="preserve">3. Danilevski L. Perspectives of the passive house standard in Belarus. 8 Europeische Passivhaustagung, Krems, 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</w:t>
      </w: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sterreich. 2004. S. 631–634.</w:t>
      </w:r>
    </w:p>
    <w:p w:rsidR="00C42243" w:rsidRPr="00A91A44" w:rsidRDefault="00C42243" w:rsidP="00C4224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141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März 2000. Kassel, 2000. S. 11–19.</w:t>
      </w:r>
    </w:p>
    <w:p w:rsidR="00C42243" w:rsidRPr="00A91A44" w:rsidRDefault="00C42243" w:rsidP="00C4224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141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Feist W., Peper S. Görg M.GEPHEUS — Proektinformation № 35 / Technische Endbereich. Hannover, 2001.</w:t>
      </w:r>
    </w:p>
    <w:p w:rsidR="00C42243" w:rsidRPr="00A91A44" w:rsidRDefault="00C42243" w:rsidP="00C4224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141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Spieler A. und a. Passiv-Verwaltungsgebäude: Erste Betriebserfahrungen mit dem Wagner-Passiv-Solarhaus. 4. Passivhaustagung 10–11. März 2000. Kassel, 2000. S. 435–441.</w:t>
      </w:r>
    </w:p>
    <w:p w:rsidR="00C42243" w:rsidRPr="00A91A44" w:rsidRDefault="00C42243" w:rsidP="00C4224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141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Internationale Passivhaustagung 19–21. Mai 2006. Hannover, 2006. 634 s.</w:t>
      </w:r>
    </w:p>
    <w:p w:rsidR="00C42243" w:rsidRPr="00A91A44" w:rsidRDefault="00C42243" w:rsidP="00C4224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141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91A4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Oehler S. Münsterländer Hof renoviert. 9 Internationale Passivhaustagung 2006. Hannover, 2006. S. 57–62.</w:t>
      </w:r>
    </w:p>
    <w:p w:rsidR="00C42243" w:rsidRDefault="00C42243" w:rsidP="00C42243">
      <w:pPr>
        <w:pStyle w:val="a3"/>
        <w:spacing w:before="100" w:beforeAutospacing="1" w:after="100" w:afterAutospacing="1" w:line="240" w:lineRule="auto"/>
        <w:ind w:left="-567" w:right="141"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42243" w:rsidRPr="004734DF" w:rsidRDefault="00C42243" w:rsidP="00C42243">
      <w:pPr>
        <w:pStyle w:val="a3"/>
        <w:spacing w:before="100" w:beforeAutospacing="1" w:after="100" w:afterAutospacing="1" w:line="240" w:lineRule="auto"/>
        <w:ind w:left="-567" w:right="141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Опубликовано: </w:t>
      </w:r>
      <w:r w:rsidRPr="00D93BEB">
        <w:rPr>
          <w:rFonts w:ascii="Times New Roman" w:eastAsia="Times New Roman" w:hAnsi="Times New Roman"/>
          <w:bCs/>
          <w:sz w:val="24"/>
          <w:szCs w:val="24"/>
          <w:lang w:eastAsia="ru-RU"/>
        </w:rPr>
        <w:t>Всеукраинский научно-технический журнал «Энергосбережение», № 7 (141), июль, 2011, с.6-8, Донецк</w:t>
      </w:r>
    </w:p>
    <w:p w:rsidR="00C42243" w:rsidRPr="004734DF" w:rsidRDefault="00C42243" w:rsidP="00C42243">
      <w:pPr>
        <w:spacing w:before="100" w:beforeAutospacing="1" w:after="100" w:afterAutospacing="1" w:line="240" w:lineRule="auto"/>
        <w:ind w:left="-567" w:right="141"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42243" w:rsidRPr="004734DF" w:rsidRDefault="00C42243" w:rsidP="00C42243">
      <w:pPr>
        <w:spacing w:line="240" w:lineRule="auto"/>
        <w:ind w:left="-567" w:right="141" w:firstLine="709"/>
        <w:contextualSpacing/>
        <w:rPr>
          <w:rFonts w:ascii="Times New Roman" w:hAnsi="Times New Roman"/>
          <w:sz w:val="28"/>
          <w:szCs w:val="28"/>
        </w:rPr>
      </w:pPr>
    </w:p>
    <w:p w:rsidR="00C42243" w:rsidRDefault="00C42243"/>
    <w:sectPr w:rsidR="00C42243" w:rsidSect="00086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00561"/>
    <w:multiLevelType w:val="hybridMultilevel"/>
    <w:tmpl w:val="CBEE2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grammar="clean"/>
  <w:defaultTabStop w:val="708"/>
  <w:characterSpacingControl w:val="doNotCompress"/>
  <w:compat/>
  <w:rsids>
    <w:rsidRoot w:val="00C42243"/>
    <w:rsid w:val="00086CF3"/>
    <w:rsid w:val="00C42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24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2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://www.ais.by/sites/default/files/images/2006_5/108_0002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1948</Words>
  <Characters>11105</Characters>
  <Application>Microsoft Office Word</Application>
  <DocSecurity>0</DocSecurity>
  <Lines>92</Lines>
  <Paragraphs>26</Paragraphs>
  <ScaleCrop>false</ScaleCrop>
  <Company>Reanimator Extreme Edition</Company>
  <LinksUpToDate>false</LinksUpToDate>
  <CharactersWithSpaces>13027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2015-01-02T14:19:00Z</dcterms:created>
  <dcterms:modified xsi:type="dcterms:W3CDTF">2015-01-02T14:20:00Z</dcterms:modified>
</cp:coreProperties>
</file>